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50"/>
          <w:szCs w:val="50"/>
        </w:rPr>
      </w:pPr>
      <w:bookmarkStart w:colFirst="0" w:colLast="0" w:name="_oaho3m8la98p" w:id="0"/>
      <w:bookmarkEnd w:id="0"/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sz w:val="42"/>
          <w:szCs w:val="42"/>
        </w:rPr>
      </w:pPr>
      <w:bookmarkStart w:colFirst="0" w:colLast="0" w:name="_zan2olto2c6x" w:id="1"/>
      <w:bookmarkEnd w:id="1"/>
      <w:r w:rsidDel="00000000" w:rsidR="00000000" w:rsidRPr="00000000">
        <w:rPr>
          <w:sz w:val="42"/>
          <w:szCs w:val="42"/>
          <w:rtl w:val="0"/>
        </w:rPr>
        <w:t xml:space="preserve">Projekt: DIC - Dependency Injection Container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Abstrakt</w:t>
      </w:r>
    </w:p>
    <w:p w:rsidR="00000000" w:rsidDel="00000000" w:rsidP="00000000" w:rsidRDefault="00000000" w:rsidRPr="00000000" w14:paraId="0000000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Vytvořit Dependency Injection framework a ten ověřit na konstrukci objektového modelu vámi zvolené aplikace</w:t>
      </w:r>
    </w:p>
    <w:p w:rsidR="00000000" w:rsidDel="00000000" w:rsidP="00000000" w:rsidRDefault="00000000" w:rsidRPr="00000000" w14:paraId="00000005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POZOR: Kratší na vývoj, ale těžší a pro ty, kteří se na to cítí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Funkční požadavky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Práce DIC je ovládána </w:t>
      </w:r>
      <w:r w:rsidDel="00000000" w:rsidR="00000000" w:rsidRPr="00000000">
        <w:rPr>
          <w:b w:val="1"/>
          <w:rtl w:val="0"/>
        </w:rPr>
        <w:t xml:space="preserve">pomocí anotací</w:t>
      </w:r>
      <w:r w:rsidDel="00000000" w:rsidR="00000000" w:rsidRPr="00000000">
        <w:rPr>
          <w:rtl w:val="0"/>
        </w:rPr>
        <w:t xml:space="preserve"> uvnitř tříd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Zdrojové beany jsou uvnitř třídy anotovány pomocí </w:t>
      </w:r>
      <w:r w:rsidDel="00000000" w:rsidR="00000000" w:rsidRPr="00000000">
        <w:rPr>
          <w:b w:val="1"/>
          <w:i w:val="1"/>
          <w:rtl w:val="0"/>
        </w:rPr>
        <w:t xml:space="preserve">@Configuration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Injection instancí tříd do instance třídy lze provádět přes </w:t>
      </w:r>
      <w:r w:rsidDel="00000000" w:rsidR="00000000" w:rsidRPr="00000000">
        <w:rPr>
          <w:b w:val="1"/>
          <w:i w:val="1"/>
          <w:rtl w:val="0"/>
        </w:rPr>
        <w:t xml:space="preserve">constructor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setter </w:t>
      </w:r>
      <w:r w:rsidDel="00000000" w:rsidR="00000000" w:rsidRPr="00000000">
        <w:rPr>
          <w:b w:val="1"/>
          <w:rtl w:val="0"/>
        </w:rPr>
        <w:t xml:space="preserve">nebo </w:t>
      </w:r>
      <w:r w:rsidDel="00000000" w:rsidR="00000000" w:rsidRPr="00000000">
        <w:rPr>
          <w:b w:val="1"/>
          <w:i w:val="1"/>
          <w:rtl w:val="0"/>
        </w:rPr>
        <w:t xml:space="preserve">property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To, kde se injekce použije a kde ne, specifikujte např: anotací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@Autowired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Lze definovat seznam packages, jejichž třídy jsou spravovány DIC (DIC scanuje tyto packages)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případě, že ve správě DIC existuje více než jedna třída splňující kontrakt pro injection, tak implementujte mechanismus, jak blíže specifikovat konkrétní třídu, která se použije.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 instancí spravovaných DIC lze nastavit 3 typy </w:t>
      </w:r>
      <w:r w:rsidDel="00000000" w:rsidR="00000000" w:rsidRPr="00000000">
        <w:rPr>
          <w:i w:val="1"/>
          <w:rtl w:val="0"/>
        </w:rPr>
        <w:t xml:space="preserve">scope</w:t>
      </w:r>
      <w:r w:rsidDel="00000000" w:rsidR="00000000" w:rsidRPr="00000000">
        <w:rPr>
          <w:rtl w:val="0"/>
        </w:rPr>
        <w:t xml:space="preserve"> a to: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Singleton</w:t>
      </w:r>
      <w:r w:rsidDel="00000000" w:rsidR="00000000" w:rsidRPr="00000000">
        <w:rPr>
          <w:rtl w:val="0"/>
        </w:rPr>
        <w:t xml:space="preserve"> - DIC používá stále stejnou instanci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Prototype</w:t>
      </w:r>
      <w:r w:rsidDel="00000000" w:rsidR="00000000" w:rsidRPr="00000000">
        <w:rPr>
          <w:rtl w:val="0"/>
        </w:rPr>
        <w:t xml:space="preserve"> -  DIC při každém požadavku na instanci vrátí novou instanci třídy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Clone</w:t>
      </w:r>
      <w:r w:rsidDel="00000000" w:rsidR="00000000" w:rsidRPr="00000000">
        <w:rPr>
          <w:rtl w:val="0"/>
        </w:rPr>
        <w:t xml:space="preserve"> - DIC při každém požadavku na instanci vrátí kopii posledně vytvořené instance. Podle konfigurace použitého </w:t>
      </w:r>
      <w:r w:rsidDel="00000000" w:rsidR="00000000" w:rsidRPr="00000000">
        <w:rPr>
          <w:i w:val="1"/>
          <w:rtl w:val="0"/>
        </w:rPr>
        <w:t xml:space="preserve">CloneProvideru</w:t>
      </w:r>
      <w:r w:rsidDel="00000000" w:rsidR="00000000" w:rsidRPr="00000000">
        <w:rPr>
          <w:rtl w:val="0"/>
        </w:rPr>
        <w:t xml:space="preserve"> se provádí buď shallow copy nebo deep copy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DIC mohu nastartovat s různými konfiguracemi - konfigurační soubor např. Ve formátu yaml. V konfiguraci mohu specifikovat potřebné parametry (jako např parametry cache nebo např. i cesty k packages, které jsou scanovány DIC)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Implementujte tzv. </w:t>
      </w:r>
      <w:r w:rsidDel="00000000" w:rsidR="00000000" w:rsidRPr="00000000">
        <w:rPr>
          <w:b w:val="1"/>
          <w:rtl w:val="0"/>
        </w:rPr>
        <w:t xml:space="preserve">Response Cache</w:t>
      </w:r>
      <w:r w:rsidDel="00000000" w:rsidR="00000000" w:rsidRPr="00000000">
        <w:rPr>
          <w:rtl w:val="0"/>
        </w:rPr>
        <w:t xml:space="preserve">. Response cache se nastavuje pomocí anotace @Cached, která se přidá před metodu. Takto anotovaná metoda funguje tak, že při jejím druhém a dalším volání se vrací hodnota z cache a tělo metody se neprovolává. V případě, že je dosaženo TTL, tak se metoda provolá znova.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Implementujte </w:t>
      </w:r>
      <w:r w:rsidDel="00000000" w:rsidR="00000000" w:rsidRPr="00000000">
        <w:rPr>
          <w:b w:val="1"/>
          <w:rtl w:val="0"/>
        </w:rPr>
        <w:t xml:space="preserve">CachingProvider</w:t>
      </w:r>
      <w:r w:rsidDel="00000000" w:rsidR="00000000" w:rsidRPr="00000000">
        <w:rPr>
          <w:rtl w:val="0"/>
        </w:rPr>
        <w:t xml:space="preserve">, tedy interface pro speciální třídu, kterou DIC používá pro implementaci cache. Tento provider si automaticky bere konfiguraci z konfiguračního souboru. Tam se nastavuje např. TTL pro cache. Pozn. tzv. provider poskytuje hotovou instanci nektere komponenty, která má standardizované rozhraní např. pro caching, java persistence, logging atd. A různí dodavatelé dodávají jeho implementaci.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Implementujte </w:t>
      </w:r>
      <w:r w:rsidDel="00000000" w:rsidR="00000000" w:rsidRPr="00000000">
        <w:rPr>
          <w:b w:val="1"/>
          <w:rtl w:val="0"/>
        </w:rPr>
        <w:t xml:space="preserve">CloningProvider</w:t>
      </w:r>
      <w:r w:rsidDel="00000000" w:rsidR="00000000" w:rsidRPr="00000000">
        <w:rPr>
          <w:rtl w:val="0"/>
        </w:rPr>
        <w:t xml:space="preserve">, tedy interface pro speciální třídu, kterou DIC používá pro implementaci klonování tříd (viz různé scopes). Tento provider si automaticky bere konfiguraci z konfiguračního souboru.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Požadované výstupy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ve formě class diagramů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Javadoc vygenerovaný pro funkce, kterými uživatel pracuje s vaším software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 testy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Použití pro konstrukci vámi zvolené komplexní objektové struktury (alespoň 10 tříd, které mezi sebou mají kardinality 1:1, 1:N nebo M:N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Realizujte pro dvě konfigurace: (1) pro reálné použití, (2) pro test - některé služby se neprovolávají  a místo nich se používá mock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Vhodné knihovny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java.lang.annotation.*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7">
        <w:r w:rsidDel="00000000" w:rsidR="00000000" w:rsidRPr="00000000">
          <w:rPr>
            <w:rtl w:val="0"/>
          </w:rPr>
          <w:t xml:space="preserve">java.lang.reflect</w:t>
        </w:r>
      </w:hyperlink>
      <w:r w:rsidDel="00000000" w:rsidR="00000000" w:rsidRPr="00000000">
        <w:rPr>
          <w:rtl w:val="0"/>
        </w:rPr>
        <w:t xml:space="preserve">.*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8f8f2"/>
          <w:sz w:val="24"/>
          <w:szCs w:val="24"/>
          <w:shd w:fill="08090a" w:val="clear"/>
        </w:rPr>
      </w:pPr>
      <w:r w:rsidDel="00000000" w:rsidR="00000000" w:rsidRPr="00000000">
        <w:rPr>
          <w:rtl w:val="0"/>
        </w:rPr>
        <w:t xml:space="preserve">org.burningwave.core.*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i w:val="1"/>
          <w:rtl w:val="0"/>
        </w:rPr>
        <w:t xml:space="preserve">Doporučená literatur</w:t>
      </w: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2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https://martinfowler.com/articles/injection.html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https://docs.spring.io/spring-framework/reference/core/beans.html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https://reflectoring.io/java-annotation-processing/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https://codegym.cc/groups/posts/208-dynamic-proxies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https://python-dependency-injector.ets-labs.org/introduction/index.html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F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odegym.cc/groups/posts/208-dynamic-proxies" TargetMode="External"/><Relationship Id="rId10" Type="http://schemas.openxmlformats.org/officeDocument/2006/relationships/hyperlink" Target="https://reflectoring.io/java-annotation-processing/" TargetMode="External"/><Relationship Id="rId12" Type="http://schemas.openxmlformats.org/officeDocument/2006/relationships/hyperlink" Target="https://python-dependency-injector.ets-labs.org/introduction/index.html" TargetMode="External"/><Relationship Id="rId9" Type="http://schemas.openxmlformats.org/officeDocument/2006/relationships/hyperlink" Target="https://docs.spring.io/spring-framework/reference/core/beans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oracle.com/javase/8/docs/api/java/lang/reflect/package-summary.html" TargetMode="External"/><Relationship Id="rId8" Type="http://schemas.openxmlformats.org/officeDocument/2006/relationships/hyperlink" Target="https://martinfowler.com/articles/inj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